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CD3952" w:rsidP="00CD3952">
            <w:pPr>
              <w:rPr>
                <w:b/>
                <w:bCs/>
                <w:sz w:val="23"/>
                <w:szCs w:val="23"/>
              </w:rPr>
            </w:pPr>
            <w:r>
              <w:rPr>
                <w:b/>
                <w:bCs/>
                <w:sz w:val="23"/>
                <w:szCs w:val="23"/>
              </w:rPr>
              <w:t>Standard V</w:t>
            </w:r>
            <w:r w:rsidR="003C2109">
              <w:rPr>
                <w:b/>
                <w:bCs/>
                <w:sz w:val="23"/>
                <w:szCs w:val="23"/>
              </w:rPr>
              <w:t xml:space="preserve"> – </w:t>
            </w:r>
            <w:r>
              <w:rPr>
                <w:b/>
                <w:bCs/>
                <w:sz w:val="23"/>
                <w:szCs w:val="23"/>
              </w:rPr>
              <w:t>Productivity and Professional Practice</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lastRenderedPageBreak/>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3C2109" w:rsidRDefault="003C2109" w:rsidP="00CD3952">
            <w:pPr>
              <w:pStyle w:val="Default"/>
              <w:spacing w:line="480" w:lineRule="auto"/>
            </w:pPr>
          </w:p>
          <w:p w:rsidR="00CD3952" w:rsidRPr="0018019F" w:rsidRDefault="00CD3952" w:rsidP="00CD3952">
            <w:pPr>
              <w:spacing w:line="480" w:lineRule="auto"/>
              <w:rPr>
                <w:rFonts w:ascii="Arial" w:hAnsi="Arial" w:cs="Arial"/>
              </w:rPr>
            </w:pPr>
            <w:r w:rsidRPr="0042487C">
              <w:rPr>
                <w:rFonts w:ascii="Arial" w:hAnsi="Arial" w:cs="Arial"/>
                <w:u w:val="single"/>
              </w:rPr>
              <w:t>Self Assessment</w:t>
            </w:r>
            <w:r>
              <w:rPr>
                <w:rFonts w:ascii="Arial" w:hAnsi="Arial" w:cs="Arial"/>
              </w:rPr>
              <w:t xml:space="preserve">:  According to Standard V Productivity and Professional Practice TF-V.B, I provided and collaborated with teachers in TEAMS student information system grade book processes and procedures.  I also assisted in preparing and printing reports from TEAMS.  I provide TEAMS support to all teachers and staff.  I have attended training sessions to try to stay current with TEAMS report, input, and procedures.  I also stay in contact with our district TEAMS support person in charge of the TEAMS process.  I work with our campus teachers on an ongoing basis to assist with attendance input, grade book processes, procedures, and report printing.  I also provide </w:t>
            </w:r>
            <w:r>
              <w:rPr>
                <w:rFonts w:ascii="Arial" w:hAnsi="Arial" w:cs="Arial"/>
              </w:rPr>
              <w:lastRenderedPageBreak/>
              <w:t>assistance in preparing and printing reports from TEAMS</w:t>
            </w:r>
            <w:r w:rsidRPr="0018019F">
              <w:rPr>
                <w:rFonts w:ascii="Arial" w:hAnsi="Arial" w:cs="Arial"/>
              </w:rPr>
              <w:t>.  “To be literate today involves acquiring new skills, including those of using technology, understanding science, having global awareness, and most important, having the ability to keep learning, which involves gathering, processing, analyzing, synthesizing, and presenting information as well as communicating and collaborating” (Solomon, G., &amp; Schrum, L. 1).</w:t>
            </w:r>
            <w:r>
              <w:rPr>
                <w:rFonts w:ascii="Arial" w:hAnsi="Arial" w:cs="Arial"/>
              </w:rPr>
              <w:t xml:space="preserve">  I assist teacher in acquiring new skills so that they have the ability to analyze the information and present their information so they can communicate with their teacher teams and professional learning communities.  </w:t>
            </w:r>
          </w:p>
          <w:p w:rsidR="00CD3952" w:rsidRDefault="00CD3952" w:rsidP="00CD3952">
            <w:pPr>
              <w:spacing w:line="480" w:lineRule="auto"/>
              <w:ind w:left="72"/>
              <w:rPr>
                <w:rFonts w:ascii="Arial" w:hAnsi="Arial" w:cs="Arial"/>
              </w:rPr>
            </w:pPr>
          </w:p>
          <w:p w:rsidR="00CD3952" w:rsidRDefault="00CD3952" w:rsidP="00CD3952">
            <w:pPr>
              <w:spacing w:line="480" w:lineRule="auto"/>
              <w:ind w:left="72"/>
              <w:rPr>
                <w:rFonts w:ascii="Arial" w:hAnsi="Arial" w:cs="Arial"/>
              </w:rPr>
            </w:pPr>
          </w:p>
          <w:p w:rsidR="00CD3952" w:rsidRPr="00EE0BAF" w:rsidRDefault="00CD3952" w:rsidP="00CD3952">
            <w:pPr>
              <w:spacing w:line="480" w:lineRule="auto"/>
              <w:ind w:left="72"/>
              <w:rPr>
                <w:rFonts w:ascii="Arial" w:hAnsi="Arial" w:cs="Arial"/>
              </w:rPr>
            </w:pPr>
            <w:r w:rsidRPr="0042487C">
              <w:rPr>
                <w:rFonts w:ascii="Arial" w:hAnsi="Arial" w:cs="Arial"/>
                <w:u w:val="single"/>
              </w:rPr>
              <w:t>Learn as a Learner</w:t>
            </w:r>
            <w:r>
              <w:rPr>
                <w:rFonts w:ascii="Arial" w:hAnsi="Arial" w:cs="Arial"/>
              </w:rPr>
              <w:t xml:space="preserve">:  We also utilize the TEAMS system for the substitute system, requisitions, and purchase orders.  Many times, we have new teachers on our campus and they need to have some instruction on utilizing the TEAMS system.  I have assisted these teachers in the online attendance, grade book, and report printing features of the teams system.  I have cautioned teachers that grades need to be input on a regular basis.  This system allows for printing reports that make the grading process more effective for teachers and students. </w:t>
            </w:r>
            <w:r w:rsidRPr="00EE0BAF">
              <w:rPr>
                <w:rFonts w:ascii="Arial" w:hAnsi="Arial" w:cs="Arial"/>
              </w:rPr>
              <w:t xml:space="preserve"> “It takes good decisions, effective communication, resolving conflict, effective motivation strategies, groups working together, proper style and use of power, a positive culture and safe </w:t>
            </w:r>
            <w:r w:rsidRPr="00EE0BAF">
              <w:rPr>
                <w:rFonts w:ascii="Arial" w:hAnsi="Arial" w:cs="Arial"/>
              </w:rPr>
              <w:lastRenderedPageBreak/>
              <w:t xml:space="preserve">climate, understanding change, and effective strategies” (Martin, G., Wright, W., Danzig, A., </w:t>
            </w:r>
            <w:proofErr w:type="spellStart"/>
            <w:r w:rsidRPr="00EE0BAF">
              <w:rPr>
                <w:rFonts w:ascii="Arial" w:hAnsi="Arial" w:cs="Arial"/>
              </w:rPr>
              <w:t>Flanary</w:t>
            </w:r>
            <w:proofErr w:type="spellEnd"/>
            <w:r w:rsidRPr="00EE0BAF">
              <w:rPr>
                <w:rFonts w:ascii="Arial" w:hAnsi="Arial" w:cs="Arial"/>
              </w:rPr>
              <w:t xml:space="preserve">, R., Brown, F., 2005, p. 73).   </w:t>
            </w:r>
            <w:r>
              <w:rPr>
                <w:rFonts w:ascii="Arial" w:hAnsi="Arial" w:cs="Arial"/>
              </w:rPr>
              <w:t>Training the teachers and assisting in developing new strategies assists with student’s success.</w:t>
            </w:r>
          </w:p>
          <w:p w:rsidR="00CD3952" w:rsidRDefault="00CD3952" w:rsidP="00CD3952">
            <w:pPr>
              <w:spacing w:line="480" w:lineRule="auto"/>
              <w:ind w:left="72"/>
              <w:rPr>
                <w:rFonts w:ascii="Arial" w:hAnsi="Arial" w:cs="Arial"/>
              </w:rPr>
            </w:pPr>
          </w:p>
          <w:p w:rsidR="00CD3952" w:rsidRDefault="00CD3952" w:rsidP="00CD3952">
            <w:pPr>
              <w:spacing w:line="480" w:lineRule="auto"/>
              <w:ind w:left="72"/>
              <w:rPr>
                <w:rFonts w:ascii="Arial" w:hAnsi="Arial" w:cs="Arial"/>
              </w:rPr>
            </w:pPr>
          </w:p>
          <w:p w:rsidR="00CD3952" w:rsidRPr="0018019F" w:rsidRDefault="00CD3952" w:rsidP="00CD3952">
            <w:pPr>
              <w:spacing w:line="480" w:lineRule="auto"/>
              <w:rPr>
                <w:rFonts w:ascii="Arial" w:hAnsi="Arial" w:cs="Arial"/>
              </w:rPr>
            </w:pPr>
            <w:r w:rsidRPr="0042487C">
              <w:rPr>
                <w:rFonts w:ascii="Arial" w:hAnsi="Arial" w:cs="Arial"/>
                <w:u w:val="single"/>
              </w:rPr>
              <w:t>Lifelong Learning Skills</w:t>
            </w:r>
            <w:r>
              <w:rPr>
                <w:rFonts w:ascii="Arial" w:hAnsi="Arial" w:cs="Arial"/>
              </w:rPr>
              <w:t xml:space="preserve">:  Parents are notified when a student receives a zero or failing grade on an assignment.  The student information management system is a place where all student records are kept.  I have assisted in teachers finding student information in the TEAMS system.  A teacher has access to the students’ phone number and parent information if necessary.  The teacher also has access to the student’s grades in other course work and classes.  Navigating the TEAMS system is efficient and simple and assisting the teachers with its user friendly attributes helps them to be more effective in their classrooms.  </w:t>
            </w:r>
            <w:r w:rsidRPr="0018019F">
              <w:rPr>
                <w:rFonts w:ascii="Arial" w:hAnsi="Arial" w:cs="Arial"/>
              </w:rPr>
              <w:t>“By infusing student technology standards into state and local curricula and developing accompanying curriculum resources, technology facilitators and leaders create both a mandate for technology integration and the structural support teachers need to implement that mandate” (</w:t>
            </w:r>
            <w:r w:rsidRPr="0018019F">
              <w:rPr>
                <w:rStyle w:val="ft"/>
                <w:rFonts w:ascii="Arial" w:hAnsi="Arial" w:cs="Arial"/>
              </w:rPr>
              <w:t>Williamson, J. &amp; Redish, R., 2009, p. 58).</w:t>
            </w:r>
            <w:r>
              <w:rPr>
                <w:rStyle w:val="ft"/>
                <w:rFonts w:ascii="Arial" w:hAnsi="Arial" w:cs="Arial"/>
              </w:rPr>
              <w:t xml:space="preserve">  Allowing technology to work for our teachers and best utilize the TEAMS system to provide the best support for teachers so that they can assist students in the best methods possible.  </w:t>
            </w:r>
          </w:p>
          <w:p w:rsidR="00CD3952" w:rsidRDefault="00CD3952" w:rsidP="00CD3952">
            <w:pPr>
              <w:ind w:left="72"/>
              <w:rPr>
                <w:rFonts w:ascii="Arial" w:hAnsi="Arial" w:cs="Arial"/>
              </w:rPr>
            </w:pPr>
          </w:p>
          <w:p w:rsidR="00CD3952" w:rsidRDefault="00CD3952" w:rsidP="00CD3952">
            <w:pPr>
              <w:ind w:left="72"/>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p>
          <w:p w:rsidR="00CD3952" w:rsidRDefault="00CD3952" w:rsidP="00CD3952">
            <w:pPr>
              <w:ind w:left="55"/>
              <w:jc w:val="center"/>
              <w:rPr>
                <w:rFonts w:ascii="Arial" w:hAnsi="Arial" w:cs="Arial"/>
              </w:rPr>
            </w:pPr>
            <w:r>
              <w:rPr>
                <w:rFonts w:ascii="Arial" w:hAnsi="Arial" w:cs="Arial"/>
              </w:rPr>
              <w:t>References</w:t>
            </w:r>
          </w:p>
          <w:p w:rsidR="00CD3952" w:rsidRDefault="00CD3952" w:rsidP="00CD3952">
            <w:pPr>
              <w:ind w:left="55"/>
              <w:jc w:val="center"/>
              <w:rPr>
                <w:rFonts w:ascii="Arial" w:hAnsi="Arial" w:cs="Arial"/>
              </w:rPr>
            </w:pPr>
          </w:p>
          <w:p w:rsidR="00CD3952" w:rsidRDefault="00CD3952" w:rsidP="00CD3952">
            <w:pPr>
              <w:pStyle w:val="Footer"/>
              <w:ind w:left="0"/>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Internship, Developing, Monitoring, and Evaluating Your Leadership Experience.  Parsippany, NJ:  Eye    on Education, p. 73.  </w:t>
            </w:r>
          </w:p>
          <w:p w:rsidR="00CD3952" w:rsidRDefault="00CD3952" w:rsidP="00CD3952">
            <w:pPr>
              <w:pStyle w:val="Footer"/>
              <w:ind w:left="0"/>
              <w:rPr>
                <w:rFonts w:ascii="Arial" w:hAnsi="Arial" w:cs="Arial"/>
                <w:sz w:val="22"/>
                <w:szCs w:val="22"/>
              </w:rPr>
            </w:pPr>
            <w:r>
              <w:rPr>
                <w:rFonts w:ascii="Arial" w:hAnsi="Arial" w:cs="Arial"/>
                <w:sz w:val="22"/>
                <w:szCs w:val="22"/>
              </w:rPr>
              <w:t xml:space="preserve"> </w:t>
            </w:r>
          </w:p>
          <w:p w:rsidR="00CD3952" w:rsidRDefault="00CD3952" w:rsidP="00CD3952">
            <w:pPr>
              <w:spacing w:after="100"/>
              <w:rPr>
                <w:rFonts w:ascii="Arial" w:hAnsi="Arial" w:cs="Arial"/>
              </w:rPr>
            </w:pPr>
            <w:r w:rsidRPr="00D4354D">
              <w:rPr>
                <w:rFonts w:ascii="Arial" w:hAnsi="Arial" w:cs="Arial"/>
              </w:rPr>
              <w:t xml:space="preserve">Solomon, G., &amp; Schrum, L. (2007).  </w:t>
            </w:r>
            <w:r w:rsidRPr="00D4354D">
              <w:rPr>
                <w:rFonts w:ascii="Arial" w:hAnsi="Arial" w:cs="Arial"/>
                <w:i/>
              </w:rPr>
              <w:t>Web 2.0  New Tools, New Schools</w:t>
            </w:r>
            <w:r w:rsidRPr="00D4354D">
              <w:rPr>
                <w:rFonts w:ascii="Arial" w:hAnsi="Arial" w:cs="Arial"/>
              </w:rPr>
              <w:t xml:space="preserve">. Eugene, Oregon:  ISTE, p. </w:t>
            </w:r>
            <w:r>
              <w:rPr>
                <w:rFonts w:ascii="Arial" w:hAnsi="Arial" w:cs="Arial"/>
              </w:rPr>
              <w:t>1.</w:t>
            </w:r>
            <w:r w:rsidRPr="00D4354D">
              <w:rPr>
                <w:rFonts w:ascii="Arial" w:hAnsi="Arial" w:cs="Arial"/>
              </w:rPr>
              <w:t xml:space="preserve">    </w:t>
            </w:r>
          </w:p>
          <w:p w:rsidR="00CD3952" w:rsidRPr="00D4354D" w:rsidRDefault="00CD3952" w:rsidP="00CD3952">
            <w:pPr>
              <w:spacing w:after="100"/>
              <w:rPr>
                <w:rFonts w:ascii="Arial" w:hAnsi="Arial" w:cs="Arial"/>
              </w:rPr>
            </w:pPr>
            <w:r w:rsidRPr="00D4354D">
              <w:rPr>
                <w:rFonts w:ascii="Arial" w:hAnsi="Arial" w:cs="Arial"/>
              </w:rPr>
              <w:t xml:space="preserve">.       </w:t>
            </w:r>
          </w:p>
          <w:p w:rsidR="00CD3952" w:rsidRDefault="00CD3952" w:rsidP="00CD3952">
            <w:pPr>
              <w:spacing w:after="240"/>
              <w:ind w:hanging="720"/>
              <w:rPr>
                <w:rFonts w:ascii="Arial" w:eastAsia="Times New Roman" w:hAnsi="Arial" w:cs="Arial"/>
              </w:rPr>
            </w:pPr>
            <w:r w:rsidRPr="00D4354D">
              <w:rPr>
                <w:rFonts w:ascii="Arial" w:hAnsi="Arial" w:cs="Arial"/>
              </w:rPr>
              <w:t xml:space="preserve"> </w:t>
            </w:r>
            <w:proofErr w:type="spellStart"/>
            <w:r w:rsidRPr="00D4354D">
              <w:rPr>
                <w:rFonts w:ascii="Arial" w:eastAsia="Times New Roman" w:hAnsi="Arial" w:cs="Arial"/>
              </w:rPr>
              <w:t>Willia</w:t>
            </w:r>
            <w:proofErr w:type="spellEnd"/>
            <w:r>
              <w:rPr>
                <w:rFonts w:ascii="Arial" w:eastAsia="Times New Roman" w:hAnsi="Arial" w:cs="Arial"/>
              </w:rPr>
              <w:t xml:space="preserve">   William</w:t>
            </w:r>
            <w:r w:rsidRPr="00D4354D">
              <w:rPr>
                <w:rFonts w:ascii="Arial" w:eastAsia="Times New Roman" w:hAnsi="Arial" w:cs="Arial"/>
              </w:rPr>
              <w:t xml:space="preserve">son, J. &amp; Redish, T. (2009). Technology Facilitation and </w:t>
            </w:r>
            <w:r>
              <w:rPr>
                <w:rFonts w:ascii="Arial" w:eastAsia="Times New Roman" w:hAnsi="Arial" w:cs="Arial"/>
              </w:rPr>
              <w:t xml:space="preserve">     </w:t>
            </w:r>
            <w:r w:rsidRPr="00D4354D">
              <w:rPr>
                <w:rFonts w:ascii="Arial" w:eastAsia="Times New Roman" w:hAnsi="Arial" w:cs="Arial"/>
              </w:rPr>
              <w:t>Leadership Standards: What Every K-12 Leader Should Know and Be Able To Do. Eugene, OR: International Society for</w:t>
            </w:r>
            <w:r>
              <w:rPr>
                <w:rFonts w:ascii="Arial" w:eastAsia="Times New Roman" w:hAnsi="Arial" w:cs="Arial"/>
              </w:rPr>
              <w:t xml:space="preserve"> Technology in Education,  p. 58.</w:t>
            </w:r>
          </w:p>
          <w:p w:rsidR="003C2109" w:rsidRDefault="003C2109" w:rsidP="003C2109">
            <w:pPr>
              <w:spacing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7C0338"/>
    <w:rsid w:val="0087630A"/>
    <w:rsid w:val="00CD3952"/>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paragraph" w:styleId="Footer">
    <w:name w:val="footer"/>
    <w:basedOn w:val="Normal"/>
    <w:link w:val="FooterChar"/>
    <w:uiPriority w:val="99"/>
    <w:unhideWhenUsed/>
    <w:rsid w:val="00CD3952"/>
    <w:pPr>
      <w:tabs>
        <w:tab w:val="center" w:pos="4680"/>
        <w:tab w:val="right" w:pos="9360"/>
      </w:tabs>
      <w:spacing w:after="0" w:line="240" w:lineRule="auto"/>
      <w:ind w:left="720"/>
    </w:pPr>
    <w:rPr>
      <w:rFonts w:ascii="Times New Roman" w:eastAsia="Calibri" w:hAnsi="Times New Roman" w:cs="Times New Roman"/>
      <w:sz w:val="24"/>
      <w:szCs w:val="24"/>
    </w:rPr>
  </w:style>
  <w:style w:type="character" w:customStyle="1" w:styleId="FooterChar">
    <w:name w:val="Footer Char"/>
    <w:basedOn w:val="DefaultParagraphFont"/>
    <w:link w:val="Footer"/>
    <w:uiPriority w:val="99"/>
    <w:rsid w:val="00CD3952"/>
    <w:rPr>
      <w:rFonts w:ascii="Times New Roman" w:eastAsia="Calibri" w:hAnsi="Times New Roman" w:cs="Times New Roman"/>
      <w:sz w:val="24"/>
      <w:szCs w:val="24"/>
    </w:rPr>
  </w:style>
  <w:style w:type="character" w:customStyle="1" w:styleId="ft">
    <w:name w:val="ft"/>
    <w:basedOn w:val="DefaultParagraphFont"/>
    <w:rsid w:val="00CD3952"/>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965</Words>
  <Characters>5503</Characters>
  <Application>Microsoft Office Word</Application>
  <DocSecurity>0</DocSecurity>
  <Lines>45</Lines>
  <Paragraphs>12</Paragraphs>
  <ScaleCrop>false</ScaleCrop>
  <Company/>
  <LinksUpToDate>false</LinksUpToDate>
  <CharactersWithSpaces>6456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2012-03-24T20:18:00Z</dcterms:created>
  <dcterms:modified xsi:type="dcterms:W3CDTF">2012-03-24T20:18:00Z</dcterms:modified>
</cp:coreProperties>
</file>